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55F6" w:rsidRDefault="00C12D32">
      <w:pPr>
        <w:pStyle w:val="Text"/>
        <w:rPr>
          <w:rFonts w:ascii="Arial" w:hAnsi="Arial" w:cs="Arial"/>
          <w:b/>
          <w:bCs/>
          <w:sz w:val="20"/>
          <w:szCs w:val="20"/>
        </w:rPr>
      </w:pPr>
      <w:r>
        <w:rPr>
          <w:rFonts w:ascii="Arial" w:hAnsi="Arial" w:cs="Arial"/>
          <w:b/>
          <w:bCs/>
          <w:sz w:val="20"/>
          <w:szCs w:val="20"/>
        </w:rPr>
        <w:t xml:space="preserve">Arbeitervotum für das BSW </w:t>
      </w:r>
    </w:p>
    <w:p w:rsidR="000855F6" w:rsidRDefault="000855F6">
      <w:pPr>
        <w:tabs>
          <w:tab w:val="right" w:pos="9072"/>
        </w:tabs>
        <w:rPr>
          <w:rFonts w:ascii="Arial" w:hAnsi="Arial" w:cs="Arial"/>
          <w:b/>
          <w:bCs/>
          <w:sz w:val="20"/>
          <w:szCs w:val="20"/>
        </w:rPr>
      </w:pPr>
    </w:p>
    <w:p w:rsidR="000855F6" w:rsidRDefault="00C12D32">
      <w:pPr>
        <w:tabs>
          <w:tab w:val="right" w:pos="9072"/>
        </w:tabs>
        <w:rPr>
          <w:rFonts w:ascii="Arial" w:hAnsi="Arial" w:cs="Arial"/>
          <w:sz w:val="20"/>
          <w:szCs w:val="20"/>
        </w:rPr>
      </w:pPr>
      <w:r>
        <w:rPr>
          <w:rFonts w:ascii="Arial" w:hAnsi="Arial" w:cs="Arial"/>
          <w:sz w:val="20"/>
          <w:szCs w:val="20"/>
        </w:rPr>
        <w:t xml:space="preserve">In ganz Europa sine die Wahlergebnisse in dieser oder jener Form bestimmt von der Ablehnung der kriegstreibenden Eskalation, des Völkermords in Gaza und der Forderung nach Stopp dem sozialen Krieg, mit dem das Volk die Kosten der Kriege bezahlen soll. Das </w:t>
      </w:r>
      <w:r>
        <w:rPr>
          <w:rFonts w:ascii="Arial" w:hAnsi="Arial" w:cs="Arial"/>
          <w:sz w:val="20"/>
          <w:szCs w:val="20"/>
        </w:rPr>
        <w:t>drückt sich in Deutschland besonders in dem beeindruckenden Wahlerfolg des BSW aus. „Mit der Offensive für die Ablehnung von Waffenlieferungen für die Ukraine und Sanktionen gegen Russland, aber auch der Waffenlieferungen der deutschen Regierung für Israel</w:t>
      </w:r>
      <w:r>
        <w:rPr>
          <w:rFonts w:ascii="Arial" w:hAnsi="Arial" w:cs="Arial"/>
          <w:sz w:val="20"/>
          <w:szCs w:val="20"/>
        </w:rPr>
        <w:t xml:space="preserve"> und mit den Forderungen nach sozialer Gerechtigkeit und Demokratie kann es einen Platz in </w:t>
      </w:r>
      <w:proofErr w:type="gramStart"/>
      <w:r>
        <w:rPr>
          <w:rFonts w:ascii="Arial" w:hAnsi="Arial" w:cs="Arial"/>
          <w:sz w:val="20"/>
          <w:szCs w:val="20"/>
        </w:rPr>
        <w:t>der  Arbeiterbewegung</w:t>
      </w:r>
      <w:proofErr w:type="gramEnd"/>
      <w:r>
        <w:rPr>
          <w:rFonts w:ascii="Arial" w:hAnsi="Arial" w:cs="Arial"/>
          <w:sz w:val="20"/>
          <w:szCs w:val="20"/>
        </w:rPr>
        <w:t xml:space="preserve"> gewinnen,“ schreiben Kollegen aus Frankfurt/Main, </w:t>
      </w:r>
    </w:p>
    <w:p w:rsidR="00F4384F" w:rsidRPr="00F4384F" w:rsidRDefault="00F4384F">
      <w:pPr>
        <w:tabs>
          <w:tab w:val="right" w:pos="9072"/>
        </w:tabs>
        <w:rPr>
          <w:rFonts w:ascii="Arial" w:hAnsi="Arial" w:cs="Arial"/>
          <w:i/>
          <w:sz w:val="20"/>
          <w:szCs w:val="20"/>
        </w:rPr>
      </w:pPr>
      <w:r w:rsidRPr="00F4384F">
        <w:rPr>
          <w:rFonts w:ascii="Arial" w:hAnsi="Arial" w:cs="Arial"/>
          <w:i/>
          <w:sz w:val="20"/>
          <w:szCs w:val="20"/>
        </w:rPr>
        <w:t>Forderungen nach Verhandlungen</w:t>
      </w:r>
    </w:p>
    <w:p w:rsidR="00F4384F" w:rsidRDefault="00F4384F">
      <w:pPr>
        <w:tabs>
          <w:tab w:val="right" w:pos="9072"/>
        </w:tabs>
      </w:pPr>
    </w:p>
    <w:p w:rsidR="000855F6" w:rsidRDefault="00C12D32">
      <w:pPr>
        <w:rPr>
          <w:rFonts w:ascii="Arial" w:hAnsi="Arial" w:cs="Arial"/>
          <w:sz w:val="20"/>
          <w:szCs w:val="20"/>
        </w:rPr>
      </w:pPr>
      <w:bookmarkStart w:id="0" w:name="_GoBack"/>
      <w:bookmarkEnd w:id="0"/>
      <w:r>
        <w:rPr>
          <w:rFonts w:ascii="Arial" w:hAnsi="Arial" w:cs="Arial"/>
          <w:sz w:val="20"/>
          <w:szCs w:val="20"/>
        </w:rPr>
        <w:t xml:space="preserve">Frankfurt/Main: </w:t>
      </w:r>
    </w:p>
    <w:p w:rsidR="000855F6" w:rsidRDefault="00C12D32">
      <w:pPr>
        <w:spacing w:after="0" w:line="240" w:lineRule="auto"/>
        <w:rPr>
          <w:rFonts w:ascii="Arial" w:hAnsi="Arial" w:cs="Arial"/>
          <w:sz w:val="20"/>
          <w:szCs w:val="20"/>
        </w:rPr>
      </w:pPr>
      <w:r>
        <w:rPr>
          <w:rFonts w:ascii="Arial" w:hAnsi="Arial" w:cs="Arial"/>
          <w:sz w:val="20"/>
          <w:szCs w:val="20"/>
        </w:rPr>
        <w:t xml:space="preserve">Das BSW erhält seine meisten Stimmen in den </w:t>
      </w:r>
      <w:proofErr w:type="gramStart"/>
      <w:r>
        <w:rPr>
          <w:rFonts w:ascii="Arial" w:hAnsi="Arial" w:cs="Arial"/>
          <w:sz w:val="20"/>
          <w:szCs w:val="20"/>
        </w:rPr>
        <w:t>Arbeitervierteln  Das</w:t>
      </w:r>
      <w:proofErr w:type="gramEnd"/>
      <w:r>
        <w:rPr>
          <w:rFonts w:ascii="Arial" w:hAnsi="Arial" w:cs="Arial"/>
          <w:sz w:val="20"/>
          <w:szCs w:val="20"/>
        </w:rPr>
        <w:t xml:space="preserve"> sind vor </w:t>
      </w:r>
      <w:r>
        <w:rPr>
          <w:rFonts w:ascii="Arial" w:hAnsi="Arial" w:cs="Arial"/>
          <w:sz w:val="20"/>
          <w:szCs w:val="20"/>
        </w:rPr>
        <w:t xml:space="preserve">allem die westlichen Stadtteile um den Industriepark Höchst (6,2 – 6,6 %) und Fechenheim (Chemie-Standort im Osten der Stadt) 6,5 %.  Und die Siedlungen mit überwiegend Arbeiterhaushalten, wie Hausen (7,5 %), Frankfurter Berg (7,2 %), Eckenheim (6,7 %), </w:t>
      </w:r>
      <w:proofErr w:type="spellStart"/>
      <w:r>
        <w:rPr>
          <w:rFonts w:ascii="Arial" w:hAnsi="Arial" w:cs="Arial"/>
          <w:sz w:val="20"/>
          <w:szCs w:val="20"/>
        </w:rPr>
        <w:t>Gi</w:t>
      </w:r>
      <w:r>
        <w:rPr>
          <w:rFonts w:ascii="Arial" w:hAnsi="Arial" w:cs="Arial"/>
          <w:sz w:val="20"/>
          <w:szCs w:val="20"/>
        </w:rPr>
        <w:t>nnheim</w:t>
      </w:r>
      <w:proofErr w:type="spellEnd"/>
      <w:r>
        <w:rPr>
          <w:rFonts w:ascii="Arial" w:hAnsi="Arial" w:cs="Arial"/>
          <w:sz w:val="20"/>
          <w:szCs w:val="20"/>
        </w:rPr>
        <w:t xml:space="preserve"> (6,2). (In Frankfurt kommt das BSW auf 4,6%)</w:t>
      </w:r>
    </w:p>
    <w:p w:rsidR="000855F6" w:rsidRDefault="00C12D32">
      <w:pPr>
        <w:tabs>
          <w:tab w:val="right" w:pos="9072"/>
        </w:tabs>
        <w:spacing w:after="0" w:line="240" w:lineRule="auto"/>
        <w:rPr>
          <w:rFonts w:ascii="Arial" w:hAnsi="Arial" w:cs="Arial"/>
          <w:sz w:val="20"/>
          <w:szCs w:val="20"/>
        </w:rPr>
      </w:pPr>
      <w:r>
        <w:rPr>
          <w:rFonts w:ascii="Arial" w:hAnsi="Arial" w:cs="Arial"/>
          <w:sz w:val="20"/>
          <w:szCs w:val="20"/>
        </w:rPr>
        <w:t>Bestes Ergebnis mit 10,4 % für das BSW gab es in der SPD-Hochburg Riederwald.</w:t>
      </w:r>
    </w:p>
    <w:p w:rsidR="000855F6" w:rsidRDefault="00C12D32">
      <w:pPr>
        <w:tabs>
          <w:tab w:val="right" w:pos="9072"/>
        </w:tabs>
        <w:rPr>
          <w:rFonts w:ascii="Arial" w:hAnsi="Arial" w:cs="Arial"/>
          <w:sz w:val="20"/>
          <w:szCs w:val="20"/>
        </w:rPr>
      </w:pPr>
      <w:r>
        <w:rPr>
          <w:rFonts w:ascii="Arial" w:hAnsi="Arial" w:cs="Arial"/>
          <w:sz w:val="20"/>
          <w:szCs w:val="20"/>
        </w:rPr>
        <w:t>M.A.</w:t>
      </w:r>
    </w:p>
    <w:p w:rsidR="000855F6" w:rsidRDefault="00C12D32">
      <w:pPr>
        <w:pStyle w:val="Text"/>
        <w:rPr>
          <w:rFonts w:ascii="Arial" w:hAnsi="Arial" w:cs="Arial"/>
          <w:sz w:val="20"/>
          <w:szCs w:val="20"/>
        </w:rPr>
      </w:pPr>
      <w:r>
        <w:rPr>
          <w:rFonts w:ascii="Arial" w:hAnsi="Arial" w:cs="Arial"/>
          <w:sz w:val="20"/>
          <w:szCs w:val="20"/>
        </w:rPr>
        <w:t>Köln</w:t>
      </w:r>
    </w:p>
    <w:p w:rsidR="000855F6" w:rsidRDefault="00C12D32">
      <w:pPr>
        <w:pStyle w:val="Text"/>
      </w:pPr>
      <w:r>
        <w:rPr>
          <w:rFonts w:ascii="Arial" w:hAnsi="Arial" w:cs="Arial"/>
          <w:sz w:val="20"/>
          <w:szCs w:val="20"/>
        </w:rPr>
        <w:t>Die Stimmergebnisse für das Bündnis Sahra Wagenknecht liegen in den ostdeutschen Bundesländern 12,6 und 16,5 Prozent</w:t>
      </w:r>
      <w:r>
        <w:rPr>
          <w:rFonts w:ascii="Arial" w:hAnsi="Arial" w:cs="Arial"/>
          <w:sz w:val="20"/>
          <w:szCs w:val="20"/>
        </w:rPr>
        <w:t>. Im Westen sind die Ergebnisse (noch) deutlich darunter. Aber wenn man genauer analysiert, zeigen sich dann auch dort die gleichen Tendenzen. In Köln, wo das BSW auf Stadtebene 4,2 % erreicht hat, gehen die Ergebnisse in den von der Arbeiterschaft und ger</w:t>
      </w:r>
      <w:r>
        <w:rPr>
          <w:rFonts w:ascii="Arial" w:hAnsi="Arial" w:cs="Arial"/>
          <w:sz w:val="20"/>
          <w:szCs w:val="20"/>
        </w:rPr>
        <w:t xml:space="preserve">ade auch von den Arbeitern mit Migrationshintergrund geprägten Stadtteilen deutlich nach oben. In den Mülheimer Stadtteilen mit einem Großteil von Arbeiterbevölkerung oder auch kleinen Gewerbetreibenden liegt er z.B. bei 5,39% in </w:t>
      </w:r>
      <w:proofErr w:type="spellStart"/>
      <w:r>
        <w:rPr>
          <w:rFonts w:ascii="Arial" w:hAnsi="Arial" w:cs="Arial"/>
          <w:sz w:val="20"/>
          <w:szCs w:val="20"/>
        </w:rPr>
        <w:t>Holweide</w:t>
      </w:r>
      <w:proofErr w:type="spellEnd"/>
      <w:r>
        <w:rPr>
          <w:rFonts w:ascii="Arial" w:hAnsi="Arial" w:cs="Arial"/>
          <w:sz w:val="20"/>
          <w:szCs w:val="20"/>
        </w:rPr>
        <w:t xml:space="preserve"> oder 6,71% in Buc</w:t>
      </w:r>
      <w:r>
        <w:rPr>
          <w:rFonts w:ascii="Arial" w:hAnsi="Arial" w:cs="Arial"/>
          <w:sz w:val="20"/>
          <w:szCs w:val="20"/>
        </w:rPr>
        <w:t xml:space="preserve">hforst. Das gilt auch für </w:t>
      </w:r>
      <w:proofErr w:type="spellStart"/>
      <w:r>
        <w:rPr>
          <w:rFonts w:ascii="Arial" w:hAnsi="Arial" w:cs="Arial"/>
          <w:sz w:val="20"/>
          <w:szCs w:val="20"/>
        </w:rPr>
        <w:t>Ostheim</w:t>
      </w:r>
      <w:proofErr w:type="spellEnd"/>
      <w:r>
        <w:rPr>
          <w:rFonts w:ascii="Arial" w:hAnsi="Arial" w:cs="Arial"/>
          <w:sz w:val="20"/>
          <w:szCs w:val="20"/>
        </w:rPr>
        <w:t xml:space="preserve"> mit 8,85 im Stadtbezirk Kalk und schließlich mit 8,78 % in Seeberg und 11,91% in Chorweiler, also in Stadtteilen mit einem sehr hohen Anteil von </w:t>
      </w:r>
      <w:proofErr w:type="spellStart"/>
      <w:r>
        <w:rPr>
          <w:rFonts w:ascii="Arial" w:hAnsi="Arial" w:cs="Arial"/>
          <w:sz w:val="20"/>
          <w:szCs w:val="20"/>
        </w:rPr>
        <w:t>migrantischer</w:t>
      </w:r>
      <w:proofErr w:type="spellEnd"/>
      <w:r>
        <w:rPr>
          <w:rFonts w:ascii="Arial" w:hAnsi="Arial" w:cs="Arial"/>
          <w:sz w:val="20"/>
          <w:szCs w:val="20"/>
        </w:rPr>
        <w:t xml:space="preserve"> Arbeiterschaft. Das zeigt: Das Votum für das BSW ist zu einem h</w:t>
      </w:r>
      <w:r>
        <w:rPr>
          <w:rFonts w:ascii="Arial" w:hAnsi="Arial" w:cs="Arial"/>
          <w:sz w:val="20"/>
          <w:szCs w:val="20"/>
        </w:rPr>
        <w:t>ohen Anteil ein Votum der Arbeiterschaft!</w:t>
      </w:r>
    </w:p>
    <w:p w:rsidR="000855F6" w:rsidRDefault="00C12D32">
      <w:pPr>
        <w:pStyle w:val="Text"/>
        <w:rPr>
          <w:rFonts w:ascii="Arial" w:hAnsi="Arial" w:cs="Arial"/>
          <w:sz w:val="20"/>
          <w:szCs w:val="20"/>
        </w:rPr>
      </w:pPr>
      <w:proofErr w:type="spellStart"/>
      <w:r>
        <w:rPr>
          <w:rFonts w:ascii="Arial" w:hAnsi="Arial" w:cs="Arial"/>
          <w:sz w:val="20"/>
          <w:szCs w:val="20"/>
        </w:rPr>
        <w:t>h.f</w:t>
      </w:r>
      <w:proofErr w:type="spellEnd"/>
    </w:p>
    <w:p w:rsidR="000855F6" w:rsidRDefault="000855F6">
      <w:pPr>
        <w:tabs>
          <w:tab w:val="right" w:pos="9072"/>
        </w:tabs>
        <w:rPr>
          <w:rFonts w:ascii="Arial" w:hAnsi="Arial" w:cs="Arial"/>
          <w:sz w:val="20"/>
          <w:szCs w:val="20"/>
        </w:rPr>
      </w:pPr>
    </w:p>
    <w:p w:rsidR="000855F6" w:rsidRDefault="00C12D32">
      <w:pPr>
        <w:rPr>
          <w:rFonts w:ascii="Arial" w:eastAsia="Times New Roman" w:hAnsi="Arial" w:cs="Arial"/>
          <w:kern w:val="0"/>
          <w:sz w:val="20"/>
          <w:szCs w:val="20"/>
          <w:lang w:eastAsia="de-DE"/>
        </w:rPr>
      </w:pPr>
      <w:r>
        <w:rPr>
          <w:rFonts w:ascii="Arial" w:eastAsia="Times New Roman" w:hAnsi="Arial" w:cs="Arial"/>
          <w:kern w:val="0"/>
          <w:sz w:val="20"/>
          <w:szCs w:val="20"/>
          <w:lang w:eastAsia="de-DE"/>
        </w:rPr>
        <w:t>Berlin</w:t>
      </w:r>
    </w:p>
    <w:p w:rsidR="000855F6" w:rsidRDefault="00C12D32">
      <w:r>
        <w:rPr>
          <w:rFonts w:ascii="Arial" w:eastAsia="Times New Roman" w:hAnsi="Arial" w:cs="Arial"/>
          <w:kern w:val="0"/>
          <w:sz w:val="20"/>
          <w:szCs w:val="20"/>
          <w:lang w:eastAsia="de-DE"/>
        </w:rPr>
        <w:t xml:space="preserve">Viele Millionen Menschen setzen ihre Hoffnung auf Sahra Wagenknecht und auf das Gelingen des BSW. Das BSW hat fulminant im Osten und beachtlich im Westen abgeschnitten. Überall im Osten zweistellig. In </w:t>
      </w:r>
      <w:r>
        <w:rPr>
          <w:rFonts w:ascii="Arial" w:eastAsia="Times New Roman" w:hAnsi="Arial" w:cs="Arial"/>
          <w:kern w:val="0"/>
          <w:sz w:val="20"/>
          <w:szCs w:val="20"/>
          <w:lang w:eastAsia="de-DE"/>
        </w:rPr>
        <w:t>der früheren PDS und linken Hochburg Berlin Hellersdorf Marzahn erhielt sie 8 Prozent.</w:t>
      </w:r>
    </w:p>
    <w:p w:rsidR="000855F6" w:rsidRDefault="00C12D32">
      <w:pPr>
        <w:spacing w:before="280" w:after="280" w:line="240" w:lineRule="auto"/>
      </w:pPr>
      <w:r>
        <w:rPr>
          <w:rFonts w:ascii="Arial" w:eastAsia="Times New Roman" w:hAnsi="Arial" w:cs="Arial"/>
          <w:kern w:val="0"/>
          <w:sz w:val="20"/>
          <w:szCs w:val="20"/>
          <w:lang w:eastAsia="de-DE"/>
        </w:rPr>
        <w:t xml:space="preserve">Dabei zeigt sich das das BSW besonders gut abschnitt, wo Menschen mit kleinen und mittleren Einkommen leben. </w:t>
      </w:r>
    </w:p>
    <w:p w:rsidR="000855F6" w:rsidRDefault="00C12D32">
      <w:pPr>
        <w:spacing w:before="280" w:after="280" w:line="240" w:lineRule="auto"/>
        <w:rPr>
          <w:rFonts w:ascii="Arial" w:eastAsia="Times New Roman" w:hAnsi="Arial" w:cs="Arial"/>
          <w:kern w:val="0"/>
          <w:sz w:val="20"/>
          <w:szCs w:val="20"/>
          <w:lang w:eastAsia="de-DE"/>
        </w:rPr>
      </w:pPr>
      <w:r>
        <w:rPr>
          <w:rFonts w:ascii="Arial" w:eastAsia="Times New Roman" w:hAnsi="Arial" w:cs="Arial"/>
          <w:kern w:val="0"/>
          <w:sz w:val="20"/>
          <w:szCs w:val="20"/>
          <w:lang w:eastAsia="de-DE"/>
        </w:rPr>
        <w:t>In der Linken Hochburg Berlin hat das BSW mit 8,7 % stärker</w:t>
      </w:r>
      <w:r>
        <w:rPr>
          <w:rFonts w:ascii="Arial" w:eastAsia="Times New Roman" w:hAnsi="Arial" w:cs="Arial"/>
          <w:kern w:val="0"/>
          <w:sz w:val="20"/>
          <w:szCs w:val="20"/>
          <w:lang w:eastAsia="de-DE"/>
        </w:rPr>
        <w:t xml:space="preserve"> abgeschnitten als die Linke mit 7,3%. In Berlin Spandau früher eine Hochburg der SPD mit langer industrieller Tradition und einer kaum verankerten Partei Die Linke erhielt das BSW 6,7 Prozent, im Plattenbauten Viertel </w:t>
      </w:r>
      <w:proofErr w:type="spellStart"/>
      <w:r>
        <w:rPr>
          <w:rFonts w:ascii="Arial" w:eastAsia="Times New Roman" w:hAnsi="Arial" w:cs="Arial"/>
          <w:kern w:val="0"/>
          <w:sz w:val="20"/>
          <w:szCs w:val="20"/>
          <w:lang w:eastAsia="de-DE"/>
        </w:rPr>
        <w:t>Haselhorst</w:t>
      </w:r>
      <w:proofErr w:type="spellEnd"/>
      <w:r>
        <w:rPr>
          <w:rFonts w:ascii="Arial" w:eastAsia="Times New Roman" w:hAnsi="Arial" w:cs="Arial"/>
          <w:kern w:val="0"/>
          <w:sz w:val="20"/>
          <w:szCs w:val="20"/>
          <w:lang w:eastAsia="de-DE"/>
        </w:rPr>
        <w:t xml:space="preserve"> in Spandau 18 Prozent. Das</w:t>
      </w:r>
      <w:r>
        <w:rPr>
          <w:rFonts w:ascii="Arial" w:eastAsia="Times New Roman" w:hAnsi="Arial" w:cs="Arial"/>
          <w:kern w:val="0"/>
          <w:sz w:val="20"/>
          <w:szCs w:val="20"/>
          <w:lang w:eastAsia="de-DE"/>
        </w:rPr>
        <w:t xml:space="preserve"> BSW hat das Potential, anders als die Partei Die Linke, Teile der Arbeiterklasse anzusprechen. Die Europawahl zeigt für die Linke hingegen: Mit ihrer Anbiederung an das linksliberale Aktivistenmilieu hat sie ihre alten Wähler endgültig vergrault Aber für </w:t>
      </w:r>
      <w:r>
        <w:rPr>
          <w:rFonts w:ascii="Arial" w:eastAsia="Times New Roman" w:hAnsi="Arial" w:cs="Arial"/>
          <w:kern w:val="0"/>
          <w:sz w:val="20"/>
          <w:szCs w:val="20"/>
          <w:lang w:eastAsia="de-DE"/>
        </w:rPr>
        <w:t xml:space="preserve">einen Richtungswechsel, selbst wenn es Kräfte innerhalb der Linken gibt, die ihn durchsetzen könnten, ist es bereits zu spät. Die neue linke Kraft sui generis (in besonderer Form) in Deutschland ist das Bündnis Sahra Wagenknecht. </w:t>
      </w:r>
    </w:p>
    <w:p w:rsidR="000855F6" w:rsidRDefault="00C12D32">
      <w:pPr>
        <w:spacing w:before="280" w:after="280" w:line="240" w:lineRule="auto"/>
      </w:pPr>
      <w:r>
        <w:rPr>
          <w:rFonts w:ascii="Arial" w:eastAsia="Times New Roman" w:hAnsi="Arial" w:cs="Arial"/>
          <w:kern w:val="0"/>
          <w:sz w:val="20"/>
          <w:szCs w:val="20"/>
          <w:lang w:eastAsia="de-DE"/>
        </w:rPr>
        <w:lastRenderedPageBreak/>
        <w:t>Ein weiteres wichtiges Mo</w:t>
      </w:r>
      <w:r>
        <w:rPr>
          <w:rFonts w:ascii="Arial" w:eastAsia="Times New Roman" w:hAnsi="Arial" w:cs="Arial"/>
          <w:kern w:val="0"/>
          <w:sz w:val="20"/>
          <w:szCs w:val="20"/>
          <w:lang w:eastAsia="de-DE"/>
        </w:rPr>
        <w:t>ment des BSW-Erfolgs waren die knapp 600.000 Wähler*innen die von der Sozialdemokratie wechselten. Hier ist noch ein weitaus größeres Potential vorhanden. Aber auch knapp 180.000 wechselten von der AFD. Hier ist noch sehr viel Luft nach oben.</w:t>
      </w:r>
    </w:p>
    <w:p w:rsidR="000855F6" w:rsidRDefault="00C12D32">
      <w:pPr>
        <w:spacing w:before="280" w:after="280" w:line="240" w:lineRule="auto"/>
        <w:rPr>
          <w:rFonts w:ascii="Arial" w:eastAsia="Times New Roman" w:hAnsi="Arial" w:cs="Arial"/>
          <w:kern w:val="0"/>
          <w:sz w:val="20"/>
          <w:szCs w:val="20"/>
          <w:lang w:eastAsia="de-DE"/>
        </w:rPr>
      </w:pPr>
      <w:r>
        <w:rPr>
          <w:rFonts w:ascii="Arial" w:eastAsia="Times New Roman" w:hAnsi="Arial" w:cs="Arial"/>
          <w:kern w:val="0"/>
          <w:sz w:val="20"/>
          <w:szCs w:val="20"/>
          <w:lang w:eastAsia="de-DE"/>
        </w:rPr>
        <w:t>Damit sich da</w:t>
      </w:r>
      <w:r>
        <w:rPr>
          <w:rFonts w:ascii="Arial" w:eastAsia="Times New Roman" w:hAnsi="Arial" w:cs="Arial"/>
          <w:kern w:val="0"/>
          <w:sz w:val="20"/>
          <w:szCs w:val="20"/>
          <w:lang w:eastAsia="de-DE"/>
        </w:rPr>
        <w:t>s BSW entwickeln kann muss es rasch zu einem schnelleren, wenn auch immer noch kontrollierten, Parteiaufbau übergehen. Mit nur Unterstützerinnen-Strukturen wird das BSW auf die Dauer nicht auskommen. Menschen in den Unterstützerinnenstrukturen möchten mitg</w:t>
      </w:r>
      <w:r>
        <w:rPr>
          <w:rFonts w:ascii="Arial" w:eastAsia="Times New Roman" w:hAnsi="Arial" w:cs="Arial"/>
          <w:kern w:val="0"/>
          <w:sz w:val="20"/>
          <w:szCs w:val="20"/>
          <w:lang w:eastAsia="de-DE"/>
        </w:rPr>
        <w:t>estalten und mitbestimmen, ihnen dies zu verwehren wird auf Dauer nicht gehen. Und vor allem muss das BSW seine gewerkschaftliche Verankerung ausbauen. H.G.</w:t>
      </w:r>
    </w:p>
    <w:p w:rsidR="000855F6" w:rsidRDefault="000855F6">
      <w:pPr>
        <w:tabs>
          <w:tab w:val="right" w:pos="9072"/>
        </w:tabs>
        <w:rPr>
          <w:rFonts w:ascii="Arial" w:eastAsia="Times New Roman" w:hAnsi="Arial" w:cs="Arial"/>
          <w:kern w:val="0"/>
          <w:sz w:val="20"/>
          <w:szCs w:val="20"/>
          <w:lang w:eastAsia="de-DE"/>
        </w:rPr>
      </w:pPr>
    </w:p>
    <w:p w:rsidR="000855F6" w:rsidRDefault="00C12D32">
      <w:pPr>
        <w:spacing w:after="120" w:line="240" w:lineRule="auto"/>
        <w:rPr>
          <w:rFonts w:ascii="Arial" w:hAnsi="Arial" w:cs="Arial"/>
          <w:b/>
          <w:bCs/>
          <w:sz w:val="20"/>
          <w:szCs w:val="20"/>
        </w:rPr>
      </w:pPr>
      <w:r>
        <w:rPr>
          <w:rFonts w:ascii="Arial" w:hAnsi="Arial" w:cs="Arial"/>
          <w:b/>
          <w:bCs/>
          <w:sz w:val="20"/>
          <w:szCs w:val="20"/>
        </w:rPr>
        <w:t>Es geht um d die Frage des Krieges, auch in Skandinavien...</w:t>
      </w:r>
    </w:p>
    <w:p w:rsidR="000855F6" w:rsidRDefault="00C12D32">
      <w:pPr>
        <w:spacing w:after="120" w:line="240" w:lineRule="auto"/>
      </w:pPr>
      <w:r>
        <w:rPr>
          <w:rFonts w:ascii="Arial" w:hAnsi="Arial" w:cs="Arial"/>
          <w:sz w:val="20"/>
          <w:szCs w:val="20"/>
        </w:rPr>
        <w:t>In Schweden erleidet die Koalition der</w:t>
      </w:r>
      <w:r>
        <w:rPr>
          <w:rFonts w:ascii="Arial" w:hAnsi="Arial" w:cs="Arial"/>
          <w:sz w:val="20"/>
          <w:szCs w:val="20"/>
        </w:rPr>
        <w:t xml:space="preserve"> rechten Regierungsparteien eine Niederlage. Es ist diese Regierung, die gerade den Armeehaushalt drastisch erhöht hat, während die öffentlichen Dienste verwüstet werden, die den Beitritt des Landes zur NATO und den Verlust der Souveränität über die schwed</w:t>
      </w:r>
      <w:r>
        <w:rPr>
          <w:rFonts w:ascii="Arial" w:hAnsi="Arial" w:cs="Arial"/>
          <w:sz w:val="20"/>
          <w:szCs w:val="20"/>
        </w:rPr>
        <w:t xml:space="preserve">ischen Militärbasen (Flak-Vertrag) unterzeichnet hat. </w:t>
      </w:r>
    </w:p>
    <w:p w:rsidR="000855F6" w:rsidRDefault="00C12D32">
      <w:pPr>
        <w:spacing w:after="120" w:line="240" w:lineRule="auto"/>
        <w:rPr>
          <w:rFonts w:ascii="Arial" w:hAnsi="Arial" w:cs="Arial"/>
          <w:sz w:val="20"/>
          <w:szCs w:val="20"/>
        </w:rPr>
      </w:pPr>
      <w:r>
        <w:rPr>
          <w:rFonts w:ascii="Arial" w:hAnsi="Arial" w:cs="Arial"/>
          <w:sz w:val="20"/>
          <w:szCs w:val="20"/>
        </w:rPr>
        <w:t>Im Gegensatz dazu steigen die Grünen von 11,5% auf 13,8%. Die Linkspartei steigt von 6,8 % auf 11,1 %. Was sind die Gründe dafür?</w:t>
      </w:r>
    </w:p>
    <w:p w:rsidR="000855F6" w:rsidRDefault="00C12D32">
      <w:pPr>
        <w:spacing w:after="120" w:line="240" w:lineRule="auto"/>
      </w:pPr>
      <w:r>
        <w:rPr>
          <w:rFonts w:ascii="Arial" w:hAnsi="Arial" w:cs="Arial"/>
          <w:sz w:val="20"/>
          <w:szCs w:val="20"/>
        </w:rPr>
        <w:t>Beide Parteien haben sich klar gegen den Völkermord in Gaza positionier</w:t>
      </w:r>
      <w:r>
        <w:rPr>
          <w:rFonts w:ascii="Arial" w:hAnsi="Arial" w:cs="Arial"/>
          <w:sz w:val="20"/>
          <w:szCs w:val="20"/>
        </w:rPr>
        <w:t xml:space="preserve">t und waren an den </w:t>
      </w:r>
      <w:proofErr w:type="spellStart"/>
      <w:r>
        <w:rPr>
          <w:rFonts w:ascii="Arial" w:hAnsi="Arial" w:cs="Arial"/>
          <w:sz w:val="20"/>
          <w:szCs w:val="20"/>
        </w:rPr>
        <w:t>Mobilisierungen</w:t>
      </w:r>
      <w:proofErr w:type="spellEnd"/>
      <w:r>
        <w:rPr>
          <w:rFonts w:ascii="Arial" w:hAnsi="Arial" w:cs="Arial"/>
          <w:sz w:val="20"/>
          <w:szCs w:val="20"/>
        </w:rPr>
        <w:t xml:space="preserve"> (besonders stark in Malmö) zur Verteidigung der Palästinenser beteiligt. Beide Parteien haben zwar den Krieg und die Waffenlieferungen in die Ukraine akzeptiert, sind aber gegen den Beitritt Schwedens zur NATO und den Fla</w:t>
      </w:r>
      <w:r>
        <w:rPr>
          <w:rFonts w:ascii="Arial" w:hAnsi="Arial" w:cs="Arial"/>
          <w:sz w:val="20"/>
          <w:szCs w:val="20"/>
        </w:rPr>
        <w:t>k-Vertrag.</w:t>
      </w:r>
    </w:p>
    <w:p w:rsidR="000855F6" w:rsidRDefault="00C12D32">
      <w:pPr>
        <w:spacing w:after="120" w:line="240" w:lineRule="auto"/>
      </w:pPr>
      <w:r>
        <w:rPr>
          <w:rFonts w:ascii="Arial" w:hAnsi="Arial" w:cs="Arial"/>
          <w:sz w:val="20"/>
          <w:szCs w:val="20"/>
        </w:rPr>
        <w:t xml:space="preserve">In Finnland wächst das Linksbündnis (das die Grünen und die Linkspartei vereint), </w:t>
      </w:r>
      <w:proofErr w:type="gramStart"/>
      <w:r>
        <w:rPr>
          <w:rFonts w:ascii="Arial" w:hAnsi="Arial" w:cs="Arial"/>
          <w:sz w:val="20"/>
          <w:szCs w:val="20"/>
        </w:rPr>
        <w:t>das</w:t>
      </w:r>
      <w:proofErr w:type="gramEnd"/>
      <w:r>
        <w:rPr>
          <w:rFonts w:ascii="Arial" w:hAnsi="Arial" w:cs="Arial"/>
          <w:sz w:val="20"/>
          <w:szCs w:val="20"/>
        </w:rPr>
        <w:t xml:space="preserve"> sich gegen den Völkermord in Gaza engagiert und das Vordringen der NATO und der US-Armee nach Finnland nicht unterstützt von 6,9% im Jahr 2019 auf 17,3% im Jah</w:t>
      </w:r>
      <w:r>
        <w:rPr>
          <w:rFonts w:ascii="Arial" w:hAnsi="Arial" w:cs="Arial"/>
          <w:sz w:val="20"/>
          <w:szCs w:val="20"/>
        </w:rPr>
        <w:t>r 2024. Korrespondent</w:t>
      </w:r>
    </w:p>
    <w:p w:rsidR="000855F6" w:rsidRDefault="000855F6">
      <w:pPr>
        <w:tabs>
          <w:tab w:val="right" w:pos="9072"/>
        </w:tabs>
        <w:rPr>
          <w:rFonts w:ascii="Arial" w:hAnsi="Arial" w:cs="Arial"/>
          <w:sz w:val="20"/>
          <w:szCs w:val="20"/>
        </w:rPr>
      </w:pPr>
    </w:p>
    <w:sectPr w:rsidR="000855F6">
      <w:pgSz w:w="11906" w:h="16838"/>
      <w:pgMar w:top="1417" w:right="1417" w:bottom="1134" w:left="1417"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1"/>
    <w:family w:val="roman"/>
    <w:pitch w:val="variable"/>
  </w:font>
  <w:font w:name="Source Han Serif CN">
    <w:panose1 w:val="00000000000000000000"/>
    <w:charset w:val="00"/>
    <w:family w:val="roman"/>
    <w:notTrueType/>
    <w:pitch w:val="default"/>
  </w:font>
  <w:font w:name="Noto Sans Devanagari">
    <w:panose1 w:val="00000000000000000000"/>
    <w:charset w:val="00"/>
    <w:family w:val="roman"/>
    <w:notTrueType/>
    <w:pitch w:val="default"/>
  </w:font>
  <w:font w:name="Aptos">
    <w:altName w:val="Arial"/>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6F0E95"/>
    <w:multiLevelType w:val="multilevel"/>
    <w:tmpl w:val="39524E9E"/>
    <w:lvl w:ilvl="0">
      <w:start w:val="1"/>
      <w:numFmt w:val="none"/>
      <w:pStyle w:val="berschrift1"/>
      <w:suff w:val="nothing"/>
      <w:lvlText w:val=""/>
      <w:lvlJc w:val="left"/>
      <w:pPr>
        <w:tabs>
          <w:tab w:val="num" w:pos="0"/>
        </w:tabs>
        <w:ind w:left="0" w:firstLine="0"/>
      </w:pPr>
    </w:lvl>
    <w:lvl w:ilvl="1">
      <w:start w:val="1"/>
      <w:numFmt w:val="none"/>
      <w:pStyle w:val="berschrift2"/>
      <w:suff w:val="nothing"/>
      <w:lvlText w:val=""/>
      <w:lvlJc w:val="left"/>
      <w:pPr>
        <w:tabs>
          <w:tab w:val="num" w:pos="0"/>
        </w:tabs>
        <w:ind w:left="0" w:firstLine="0"/>
      </w:pPr>
    </w:lvl>
    <w:lvl w:ilvl="2">
      <w:start w:val="1"/>
      <w:numFmt w:val="none"/>
      <w:pStyle w:val="berschrift3"/>
      <w:suff w:val="nothing"/>
      <w:lvlText w:val=""/>
      <w:lvlJc w:val="left"/>
      <w:pPr>
        <w:tabs>
          <w:tab w:val="num" w:pos="0"/>
        </w:tabs>
        <w:ind w:left="0" w:firstLine="0"/>
      </w:pPr>
    </w:lvl>
    <w:lvl w:ilvl="3">
      <w:start w:val="1"/>
      <w:numFmt w:val="none"/>
      <w:pStyle w:val="berschrift4"/>
      <w:suff w:val="nothing"/>
      <w:lvlText w:val=""/>
      <w:lvlJc w:val="left"/>
      <w:pPr>
        <w:tabs>
          <w:tab w:val="num" w:pos="0"/>
        </w:tabs>
        <w:ind w:left="0" w:firstLine="0"/>
      </w:pPr>
    </w:lvl>
    <w:lvl w:ilvl="4">
      <w:start w:val="1"/>
      <w:numFmt w:val="none"/>
      <w:pStyle w:val="berschrift5"/>
      <w:suff w:val="nothing"/>
      <w:lvlText w:val=""/>
      <w:lvlJc w:val="left"/>
      <w:pPr>
        <w:tabs>
          <w:tab w:val="num" w:pos="0"/>
        </w:tabs>
        <w:ind w:left="0" w:firstLine="0"/>
      </w:pPr>
    </w:lvl>
    <w:lvl w:ilvl="5">
      <w:start w:val="1"/>
      <w:numFmt w:val="none"/>
      <w:pStyle w:val="berschrift6"/>
      <w:suff w:val="nothing"/>
      <w:lvlText w:val=""/>
      <w:lvlJc w:val="left"/>
      <w:pPr>
        <w:tabs>
          <w:tab w:val="num" w:pos="0"/>
        </w:tabs>
        <w:ind w:left="0" w:firstLine="0"/>
      </w:pPr>
    </w:lvl>
    <w:lvl w:ilvl="6">
      <w:start w:val="1"/>
      <w:numFmt w:val="none"/>
      <w:pStyle w:val="berschrift7"/>
      <w:suff w:val="nothing"/>
      <w:lvlText w:val=""/>
      <w:lvlJc w:val="left"/>
      <w:pPr>
        <w:tabs>
          <w:tab w:val="num" w:pos="0"/>
        </w:tabs>
        <w:ind w:left="0" w:firstLine="0"/>
      </w:pPr>
    </w:lvl>
    <w:lvl w:ilvl="7">
      <w:start w:val="1"/>
      <w:numFmt w:val="none"/>
      <w:pStyle w:val="berschrift8"/>
      <w:suff w:val="nothing"/>
      <w:lvlText w:val=""/>
      <w:lvlJc w:val="left"/>
      <w:pPr>
        <w:tabs>
          <w:tab w:val="num" w:pos="0"/>
        </w:tabs>
        <w:ind w:left="0" w:firstLine="0"/>
      </w:pPr>
    </w:lvl>
    <w:lvl w:ilvl="8">
      <w:start w:val="1"/>
      <w:numFmt w:val="none"/>
      <w:pStyle w:val="berschrift9"/>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08"/>
  <w:autoHyphenation/>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855F6"/>
    <w:rsid w:val="000855F6"/>
    <w:rsid w:val="00C12D32"/>
    <w:rsid w:val="00F4384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90FE5"/>
  <w15:docId w15:val="{A01FDC92-5940-4392-8151-65E3361AB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ource Han Serif CN" w:hAnsi="Liberation Serif" w:cs="Noto Sans Devanagari"/>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uppressAutoHyphens/>
      <w:spacing w:after="160" w:line="276" w:lineRule="auto"/>
    </w:pPr>
    <w:rPr>
      <w:rFonts w:ascii="Aptos" w:eastAsia="Aptos" w:hAnsi="Aptos" w:cs="Times New Roman"/>
      <w:kern w:val="2"/>
      <w:sz w:val="24"/>
      <w:szCs w:val="24"/>
      <w:lang w:eastAsia="zh-CN"/>
    </w:rPr>
  </w:style>
  <w:style w:type="paragraph" w:styleId="berschrift1">
    <w:name w:val="heading 1"/>
    <w:basedOn w:val="Standard"/>
    <w:next w:val="Standard"/>
    <w:qFormat/>
    <w:pPr>
      <w:keepNext/>
      <w:keepLines/>
      <w:numPr>
        <w:numId w:val="1"/>
      </w:numPr>
      <w:spacing w:before="360" w:after="80"/>
      <w:outlineLvl w:val="0"/>
    </w:pPr>
    <w:rPr>
      <w:rFonts w:ascii="Aptos Display" w:eastAsia="Times New Roman" w:hAnsi="Aptos Display"/>
      <w:color w:val="0F4761"/>
      <w:sz w:val="40"/>
      <w:szCs w:val="40"/>
    </w:rPr>
  </w:style>
  <w:style w:type="paragraph" w:styleId="berschrift2">
    <w:name w:val="heading 2"/>
    <w:basedOn w:val="Standard"/>
    <w:next w:val="Standard"/>
    <w:qFormat/>
    <w:pPr>
      <w:keepNext/>
      <w:keepLines/>
      <w:numPr>
        <w:ilvl w:val="1"/>
        <w:numId w:val="1"/>
      </w:numPr>
      <w:spacing w:before="160" w:after="80"/>
      <w:outlineLvl w:val="1"/>
    </w:pPr>
    <w:rPr>
      <w:rFonts w:ascii="Aptos Display" w:eastAsia="Times New Roman" w:hAnsi="Aptos Display"/>
      <w:color w:val="0F4761"/>
      <w:sz w:val="32"/>
      <w:szCs w:val="32"/>
    </w:rPr>
  </w:style>
  <w:style w:type="paragraph" w:styleId="berschrift3">
    <w:name w:val="heading 3"/>
    <w:basedOn w:val="Standard"/>
    <w:next w:val="Standard"/>
    <w:qFormat/>
    <w:pPr>
      <w:keepNext/>
      <w:keepLines/>
      <w:numPr>
        <w:ilvl w:val="2"/>
        <w:numId w:val="1"/>
      </w:numPr>
      <w:spacing w:before="160" w:after="80"/>
      <w:outlineLvl w:val="2"/>
    </w:pPr>
    <w:rPr>
      <w:rFonts w:eastAsia="Times New Roman"/>
      <w:color w:val="0F4761"/>
      <w:sz w:val="28"/>
      <w:szCs w:val="28"/>
    </w:rPr>
  </w:style>
  <w:style w:type="paragraph" w:styleId="berschrift4">
    <w:name w:val="heading 4"/>
    <w:basedOn w:val="Standard"/>
    <w:next w:val="Standard"/>
    <w:qFormat/>
    <w:pPr>
      <w:keepNext/>
      <w:keepLines/>
      <w:numPr>
        <w:ilvl w:val="3"/>
        <w:numId w:val="1"/>
      </w:numPr>
      <w:spacing w:before="80" w:after="40"/>
      <w:outlineLvl w:val="3"/>
    </w:pPr>
    <w:rPr>
      <w:rFonts w:eastAsia="Times New Roman"/>
      <w:i/>
      <w:iCs/>
      <w:color w:val="0F4761"/>
    </w:rPr>
  </w:style>
  <w:style w:type="paragraph" w:styleId="berschrift5">
    <w:name w:val="heading 5"/>
    <w:basedOn w:val="Standard"/>
    <w:next w:val="Standard"/>
    <w:qFormat/>
    <w:pPr>
      <w:keepNext/>
      <w:keepLines/>
      <w:numPr>
        <w:ilvl w:val="4"/>
        <w:numId w:val="1"/>
      </w:numPr>
      <w:spacing w:before="80" w:after="40"/>
      <w:outlineLvl w:val="4"/>
    </w:pPr>
    <w:rPr>
      <w:rFonts w:eastAsia="Times New Roman"/>
      <w:color w:val="0F4761"/>
    </w:rPr>
  </w:style>
  <w:style w:type="paragraph" w:styleId="berschrift6">
    <w:name w:val="heading 6"/>
    <w:basedOn w:val="Standard"/>
    <w:next w:val="Standard"/>
    <w:qFormat/>
    <w:pPr>
      <w:keepNext/>
      <w:keepLines/>
      <w:numPr>
        <w:ilvl w:val="5"/>
        <w:numId w:val="1"/>
      </w:numPr>
      <w:spacing w:before="40" w:after="0"/>
      <w:outlineLvl w:val="5"/>
    </w:pPr>
    <w:rPr>
      <w:rFonts w:eastAsia="Times New Roman"/>
      <w:i/>
      <w:iCs/>
      <w:color w:val="595959"/>
    </w:rPr>
  </w:style>
  <w:style w:type="paragraph" w:styleId="berschrift7">
    <w:name w:val="heading 7"/>
    <w:basedOn w:val="Standard"/>
    <w:next w:val="Standard"/>
    <w:qFormat/>
    <w:pPr>
      <w:keepNext/>
      <w:keepLines/>
      <w:numPr>
        <w:ilvl w:val="6"/>
        <w:numId w:val="1"/>
      </w:numPr>
      <w:spacing w:before="40" w:after="0"/>
      <w:outlineLvl w:val="6"/>
    </w:pPr>
    <w:rPr>
      <w:rFonts w:eastAsia="Times New Roman"/>
      <w:color w:val="595959"/>
    </w:rPr>
  </w:style>
  <w:style w:type="paragraph" w:styleId="berschrift8">
    <w:name w:val="heading 8"/>
    <w:basedOn w:val="Standard"/>
    <w:next w:val="Standard"/>
    <w:qFormat/>
    <w:pPr>
      <w:keepNext/>
      <w:keepLines/>
      <w:numPr>
        <w:ilvl w:val="7"/>
        <w:numId w:val="1"/>
      </w:numPr>
      <w:spacing w:after="0"/>
      <w:outlineLvl w:val="7"/>
    </w:pPr>
    <w:rPr>
      <w:rFonts w:eastAsia="Times New Roman"/>
      <w:i/>
      <w:iCs/>
      <w:color w:val="272727"/>
    </w:rPr>
  </w:style>
  <w:style w:type="paragraph" w:styleId="berschrift9">
    <w:name w:val="heading 9"/>
    <w:basedOn w:val="Standard"/>
    <w:next w:val="Standard"/>
    <w:qFormat/>
    <w:pPr>
      <w:keepNext/>
      <w:keepLines/>
      <w:numPr>
        <w:ilvl w:val="8"/>
        <w:numId w:val="1"/>
      </w:numPr>
      <w:spacing w:after="0"/>
      <w:outlineLvl w:val="8"/>
    </w:pPr>
    <w:rPr>
      <w:rFonts w:eastAsia="Times New Roman"/>
      <w:color w:val="27272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qFormat/>
    <w:rPr>
      <w:rFonts w:ascii="Aptos Display" w:eastAsia="Times New Roman" w:hAnsi="Aptos Display" w:cs="Times New Roman"/>
      <w:color w:val="0F4761"/>
      <w:sz w:val="40"/>
      <w:szCs w:val="40"/>
    </w:rPr>
  </w:style>
  <w:style w:type="character" w:customStyle="1" w:styleId="berschrift2Zchn">
    <w:name w:val="Überschrift 2 Zchn"/>
    <w:qFormat/>
    <w:rPr>
      <w:rFonts w:ascii="Aptos Display" w:eastAsia="Times New Roman" w:hAnsi="Aptos Display" w:cs="Times New Roman"/>
      <w:color w:val="0F4761"/>
      <w:sz w:val="32"/>
      <w:szCs w:val="32"/>
    </w:rPr>
  </w:style>
  <w:style w:type="character" w:customStyle="1" w:styleId="berschrift3Zchn">
    <w:name w:val="Überschrift 3 Zchn"/>
    <w:qFormat/>
    <w:rPr>
      <w:rFonts w:eastAsia="Times New Roman" w:cs="Times New Roman"/>
      <w:color w:val="0F4761"/>
      <w:sz w:val="28"/>
      <w:szCs w:val="28"/>
    </w:rPr>
  </w:style>
  <w:style w:type="character" w:customStyle="1" w:styleId="berschrift4Zchn">
    <w:name w:val="Überschrift 4 Zchn"/>
    <w:qFormat/>
    <w:rPr>
      <w:rFonts w:eastAsia="Times New Roman" w:cs="Times New Roman"/>
      <w:i/>
      <w:iCs/>
      <w:color w:val="0F4761"/>
    </w:rPr>
  </w:style>
  <w:style w:type="character" w:customStyle="1" w:styleId="berschrift5Zchn">
    <w:name w:val="Überschrift 5 Zchn"/>
    <w:qFormat/>
    <w:rPr>
      <w:rFonts w:eastAsia="Times New Roman" w:cs="Times New Roman"/>
      <w:color w:val="0F4761"/>
    </w:rPr>
  </w:style>
  <w:style w:type="character" w:customStyle="1" w:styleId="berschrift6Zchn">
    <w:name w:val="Überschrift 6 Zchn"/>
    <w:qFormat/>
    <w:rPr>
      <w:rFonts w:eastAsia="Times New Roman" w:cs="Times New Roman"/>
      <w:i/>
      <w:iCs/>
      <w:color w:val="595959"/>
    </w:rPr>
  </w:style>
  <w:style w:type="character" w:customStyle="1" w:styleId="berschrift7Zchn">
    <w:name w:val="Überschrift 7 Zchn"/>
    <w:qFormat/>
    <w:rPr>
      <w:rFonts w:eastAsia="Times New Roman" w:cs="Times New Roman"/>
      <w:color w:val="595959"/>
    </w:rPr>
  </w:style>
  <w:style w:type="character" w:customStyle="1" w:styleId="berschrift8Zchn">
    <w:name w:val="Überschrift 8 Zchn"/>
    <w:qFormat/>
    <w:rPr>
      <w:rFonts w:eastAsia="Times New Roman" w:cs="Times New Roman"/>
      <w:i/>
      <w:iCs/>
      <w:color w:val="272727"/>
    </w:rPr>
  </w:style>
  <w:style w:type="character" w:customStyle="1" w:styleId="berschrift9Zchn">
    <w:name w:val="Überschrift 9 Zchn"/>
    <w:qFormat/>
    <w:rPr>
      <w:rFonts w:eastAsia="Times New Roman" w:cs="Times New Roman"/>
      <w:color w:val="272727"/>
    </w:rPr>
  </w:style>
  <w:style w:type="character" w:customStyle="1" w:styleId="TitelZchn">
    <w:name w:val="Titel Zchn"/>
    <w:qFormat/>
    <w:rPr>
      <w:rFonts w:ascii="Aptos Display" w:eastAsia="Times New Roman" w:hAnsi="Aptos Display" w:cs="Times New Roman"/>
      <w:spacing w:val="-10"/>
      <w:kern w:val="2"/>
      <w:sz w:val="56"/>
      <w:szCs w:val="56"/>
    </w:rPr>
  </w:style>
  <w:style w:type="character" w:customStyle="1" w:styleId="UntertitelZchn">
    <w:name w:val="Untertitel Zchn"/>
    <w:qFormat/>
    <w:rPr>
      <w:rFonts w:eastAsia="Times New Roman" w:cs="Times New Roman"/>
      <w:color w:val="595959"/>
      <w:spacing w:val="15"/>
      <w:sz w:val="28"/>
      <w:szCs w:val="28"/>
    </w:rPr>
  </w:style>
  <w:style w:type="character" w:customStyle="1" w:styleId="ZitatZchn">
    <w:name w:val="Zitat Zchn"/>
    <w:qFormat/>
    <w:rPr>
      <w:i/>
      <w:iCs/>
      <w:color w:val="404040"/>
    </w:rPr>
  </w:style>
  <w:style w:type="character" w:styleId="IntensiveHervorhebung">
    <w:name w:val="Intense Emphasis"/>
    <w:qFormat/>
    <w:rPr>
      <w:i/>
      <w:iCs/>
      <w:color w:val="0F4761"/>
    </w:rPr>
  </w:style>
  <w:style w:type="character" w:customStyle="1" w:styleId="IntensivesZitatZchn">
    <w:name w:val="Intensives Zitat Zchn"/>
    <w:qFormat/>
    <w:rPr>
      <w:i/>
      <w:iCs/>
      <w:color w:val="0F4761"/>
    </w:rPr>
  </w:style>
  <w:style w:type="character" w:styleId="IntensiverVerweis">
    <w:name w:val="Intense Reference"/>
    <w:qFormat/>
    <w:rPr>
      <w:b/>
      <w:bCs/>
      <w:smallCaps/>
      <w:color w:val="0F4761"/>
      <w:spacing w:val="5"/>
    </w:rPr>
  </w:style>
  <w:style w:type="paragraph" w:customStyle="1" w:styleId="Heading">
    <w:name w:val="Heading"/>
    <w:basedOn w:val="Standard"/>
    <w:next w:val="Standard"/>
    <w:qFormat/>
    <w:pPr>
      <w:spacing w:after="80" w:line="240" w:lineRule="auto"/>
      <w:contextualSpacing/>
    </w:pPr>
    <w:rPr>
      <w:rFonts w:ascii="Aptos Display" w:eastAsia="Times New Roman" w:hAnsi="Aptos Display"/>
      <w:spacing w:val="-10"/>
      <w:sz w:val="56"/>
      <w:szCs w:val="56"/>
    </w:rPr>
  </w:style>
  <w:style w:type="paragraph" w:styleId="Textkrper">
    <w:name w:val="Body Text"/>
    <w:basedOn w:val="Standard"/>
    <w:pPr>
      <w:spacing w:after="140"/>
    </w:pPr>
  </w:style>
  <w:style w:type="paragraph" w:styleId="Liste">
    <w:name w:val="List"/>
    <w:basedOn w:val="Textkrper"/>
    <w:rPr>
      <w:rFonts w:cs="Noto Sans Devanagari"/>
    </w:rPr>
  </w:style>
  <w:style w:type="paragraph" w:styleId="Beschriftung">
    <w:name w:val="caption"/>
    <w:basedOn w:val="Standard"/>
    <w:qFormat/>
    <w:pPr>
      <w:suppressLineNumbers/>
      <w:spacing w:before="120" w:after="120"/>
    </w:pPr>
    <w:rPr>
      <w:rFonts w:cs="Noto Sans Devanagari"/>
      <w:i/>
      <w:iCs/>
    </w:rPr>
  </w:style>
  <w:style w:type="paragraph" w:customStyle="1" w:styleId="Index">
    <w:name w:val="Index"/>
    <w:basedOn w:val="Standard"/>
    <w:qFormat/>
    <w:pPr>
      <w:suppressLineNumbers/>
    </w:pPr>
    <w:rPr>
      <w:rFonts w:cs="Noto Sans Devanagari"/>
    </w:rPr>
  </w:style>
  <w:style w:type="paragraph" w:styleId="Untertitel">
    <w:name w:val="Subtitle"/>
    <w:basedOn w:val="Standard"/>
    <w:next w:val="Standard"/>
    <w:qFormat/>
    <w:rPr>
      <w:rFonts w:eastAsia="Times New Roman"/>
      <w:color w:val="595959"/>
      <w:spacing w:val="15"/>
      <w:sz w:val="28"/>
      <w:szCs w:val="28"/>
    </w:rPr>
  </w:style>
  <w:style w:type="paragraph" w:styleId="Zitat">
    <w:name w:val="Quote"/>
    <w:basedOn w:val="Standard"/>
    <w:next w:val="Standard"/>
    <w:qFormat/>
    <w:pPr>
      <w:spacing w:before="160"/>
      <w:jc w:val="center"/>
    </w:pPr>
    <w:rPr>
      <w:i/>
      <w:iCs/>
      <w:color w:val="404040"/>
    </w:rPr>
  </w:style>
  <w:style w:type="paragraph" w:styleId="Listenabsatz">
    <w:name w:val="List Paragraph"/>
    <w:basedOn w:val="Standard"/>
    <w:qFormat/>
    <w:pPr>
      <w:ind w:left="720"/>
      <w:contextualSpacing/>
    </w:pPr>
  </w:style>
  <w:style w:type="paragraph" w:styleId="IntensivesZitat">
    <w:name w:val="Intense Quote"/>
    <w:basedOn w:val="Standard"/>
    <w:next w:val="Standard"/>
    <w:qFormat/>
    <w:pPr>
      <w:pBdr>
        <w:top w:val="single" w:sz="4" w:space="10" w:color="0F4761"/>
        <w:bottom w:val="single" w:sz="4" w:space="10" w:color="0F4761"/>
      </w:pBdr>
      <w:spacing w:before="360" w:after="360"/>
      <w:ind w:left="864" w:right="864"/>
      <w:jc w:val="center"/>
    </w:pPr>
    <w:rPr>
      <w:i/>
      <w:iCs/>
      <w:color w:val="0F4761"/>
    </w:rPr>
  </w:style>
  <w:style w:type="paragraph" w:customStyle="1" w:styleId="Text">
    <w:name w:val="Text"/>
    <w:qFormat/>
    <w:pPr>
      <w:suppressAutoHyphens/>
    </w:pPr>
    <w:rPr>
      <w:rFonts w:ascii="Times New Roman" w:eastAsia="Arial Unicode MS" w:hAnsi="Times New Roman" w:cs="Arial Unicode MS"/>
      <w:color w:val="000000"/>
      <w:sz w:val="28"/>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712</Words>
  <Characters>4491</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Vivantes Netzwerk für Gesundheit GmbH</Company>
  <LinksUpToDate>false</LinksUpToDate>
  <CharactersWithSpaces>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 Old</dc:creator>
  <cp:keywords/>
  <dc:description/>
  <cp:lastModifiedBy>Thyret, Josephine</cp:lastModifiedBy>
  <cp:revision>10</cp:revision>
  <cp:lastPrinted>2024-06-13T11:43:00Z</cp:lastPrinted>
  <dcterms:created xsi:type="dcterms:W3CDTF">2024-06-13T11:32:00Z</dcterms:created>
  <dcterms:modified xsi:type="dcterms:W3CDTF">2024-06-19T17:43:00Z</dcterms:modified>
  <dc:language>en-US</dc:language>
</cp:coreProperties>
</file>